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center"/>
        <w:rPr>
          <w:rFonts w:hAnsi="Arial" w:eastAsia="Arial" w:cs="Arial" w:asciiTheme="minorAscii"/>
          <w:b/>
          <w:bCs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ru-RU"/>
        </w:rPr>
      </w:pPr>
      <w:r>
        <w:rPr>
          <w:rFonts w:hAnsi="Arial" w:eastAsia="Arial" w:cs="Arial" w:asciiTheme="minorAscii"/>
          <w:b/>
          <w:bCs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ru-RU"/>
        </w:rPr>
        <w:t>Анкета по курсу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ru-RU"/>
        </w:rPr>
      </w:pPr>
    </w:p>
    <w:tbl>
      <w:tblPr>
        <w:tblStyle w:val="13"/>
        <w:tblW w:w="10435" w:type="dxa"/>
        <w:tblInd w:w="0" w:type="dxa"/>
        <w:tblBorders>
          <w:top w:val="single" w:color="BEBEBE" w:themeColor="background1" w:themeShade="BF" w:sz="2" w:space="0"/>
          <w:left w:val="single" w:color="BEBEBE" w:themeColor="background1" w:themeShade="BF" w:sz="2" w:space="0"/>
          <w:bottom w:val="single" w:color="BEBEBE" w:themeColor="background1" w:themeShade="BF" w:sz="2" w:space="0"/>
          <w:right w:val="single" w:color="BEBEBE" w:themeColor="background1" w:themeShade="BF" w:sz="2" w:space="0"/>
          <w:insideH w:val="single" w:color="BEBEBE" w:themeColor="background1" w:themeShade="BF" w:sz="2" w:space="0"/>
          <w:insideV w:val="single" w:color="BEBEBE" w:themeColor="background1" w:themeShade="BF" w:sz="2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44"/>
        <w:gridCol w:w="6291"/>
      </w:tblGrid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Название курса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Длительность курса (количество недель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 xml:space="preserve">; 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роликов (лекций) в неделю)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Преподаватель 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  <w:lang w:val="ru-RU"/>
              </w:rPr>
              <w:t>—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автор курса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(ФИО, звания, место работы, образование, научные труды, научные интересы)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contextualSpacing w:val="0"/>
              <w:jc w:val="both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Приглашенные 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п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реподаватели и эксперты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(ФИО, звания, место работы, образование, научные труды, научные интересы)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contextualSpacing w:val="0"/>
              <w:jc w:val="both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 xml:space="preserve">Аннотация 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курса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 xml:space="preserve">План 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курса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 xml:space="preserve"> (перечень основных разделов)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contextualSpacing w:val="0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Формируемые компетенции и результаты обучения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contextualSpacing w:val="0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Необходимый уровень подготовки 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  <w:lang w:val="ru-RU"/>
              </w:rPr>
              <w:t>для освоения курса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Требования к оборудованию рабочего места обучающегося (если есть)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  <w:t>Доступ к столярным инструментам и материалам для поделок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Аудитория курса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ru-RU"/>
              </w:rPr>
              <w:t>Старшеклассники, студенты начальных курсов, все интересующиеся столярным ремеслом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Проверка знаний в курсе (задания, тесты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, симуляторы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)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;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место заданий в структуре курса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;</w:t>
            </w: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время на выполнение заданий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ru-RU"/>
              </w:rPr>
              <w:t>Задания для самопроверки по каждому блоку; тест с автоматической проверкой по итогам каждой главы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Итоговое задание по курсу (Экзамен) 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  <w:t>Тест с автоматической проверкой и творческое задание с взаимным оцениванием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Тип запуска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  <w:t>Когортный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Платформа размещения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ru-RU"/>
              </w:rPr>
              <w:t xml:space="preserve">Лекториум, </w:t>
            </w: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lang w:val="en-US"/>
              </w:rPr>
              <w:t>Coursera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Обратная связь, </w:t>
            </w: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предметная и административная поддержка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>Курс требует предметной поддержки автором/ассистентом автора не менее 1 часа в неделю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>Административная поддержка осуществляется отделом кураторов запусков платформы Лекториум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Модели использования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>Возможно использование элементов и отдельных модулей курса для реализации в рамках смешанных моделей обучения, все ролики лежат в открытом доступе и могут использоваться вне курса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Необходимость актуализации курса (срок годности)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>Один раз в год</w:t>
            </w: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  <w:lang w:val="ru-RU"/>
              </w:rPr>
              <w:t xml:space="preserve"> или по запросу 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Используемые техники визуализации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>Студийная съемка с презентацией, использование анимации и уникальной графики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Дополнительные материалы и глоссарий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>Списки дополнительной литературы и ссылок с аннотациями; дополнительные видео</w:t>
            </w: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  <w:lang w:val="ru-RU"/>
              </w:rPr>
              <w:t>; глоссарий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color w:val="000000"/>
                <w:sz w:val="18"/>
                <w:szCs w:val="18"/>
                <w:rtl w:val="0"/>
              </w:rPr>
              <w:t>Язык преподавания и поддержки, субтитры</w:t>
            </w:r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</w:rPr>
            </w:pP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</w:rPr>
              <w:t xml:space="preserve">Преподавание и поддержка на русском </w:t>
            </w:r>
            <w:r>
              <w:rPr>
                <w:rFonts w:hAnsi="Arial" w:eastAsia="Arial" w:cs="Arial" w:asciiTheme="minorAscii"/>
                <w:i/>
                <w:iCs/>
                <w:color w:val="000000"/>
                <w:sz w:val="18"/>
                <w:szCs w:val="18"/>
                <w:rtl w:val="0"/>
                <w:lang w:val="ru-RU"/>
              </w:rPr>
              <w:t>языке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3" w:hRule="atLeast"/>
        </w:trPr>
        <w:tc>
          <w:tcPr>
            <w:tcW w:w="414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Ansi="Arial" w:eastAsia="Arial" w:cs="Arial" w:asciiTheme="minorAsci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Возможные сопряженные курсы</w:t>
            </w:r>
            <w:bookmarkStart w:id="0" w:name="_GoBack"/>
            <w:bookmarkEnd w:id="0"/>
          </w:p>
        </w:tc>
        <w:tc>
          <w:tcPr>
            <w:tcW w:w="6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  <w:t xml:space="preserve">Курс </w:t>
            </w:r>
            <w:r>
              <w:rPr>
                <w:rFonts w:hint="default" w:hAnsi="Arial" w:eastAsia="Arial" w:cs="Arial" w:asciiTheme="minorAscii"/>
                <w:i/>
                <w:iCs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  <w:t>«Инженерное дело» (Лекториум)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pgSz w:w="11906" w:h="16838"/>
      <w:pgMar w:top="1134" w:right="850" w:bottom="1134" w:left="851" w:header="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63C82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0"/>
      <w:szCs w:val="20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2018-02-16T16:22:48Z</dcterms:created>
  <dc:creator>admin</dc:creator>
  <cp:lastModifiedBy>admin</cp:lastModifiedBy>
  <dcterms:modified xsi:type="dcterms:W3CDTF">2018-02-16T16:37:57Z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